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D91" w:rsidRDefault="00497876">
      <w:pPr>
        <w:pBdr>
          <w:top w:val="nil"/>
          <w:left w:val="nil"/>
          <w:bottom w:val="nil"/>
          <w:right w:val="nil"/>
          <w:between w:val="nil"/>
        </w:pBdr>
        <w:spacing w:line="429" w:lineRule="auto"/>
        <w:ind w:left="-566"/>
        <w:jc w:val="both"/>
        <w:rPr>
          <w:rFonts w:ascii="Times New Roman" w:eastAsia="Times New Roman" w:hAnsi="Times New Roman" w:cs="Times New Roman"/>
          <w:b/>
          <w:color w:val="222222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222222"/>
          <w:sz w:val="22"/>
          <w:szCs w:val="22"/>
        </w:rPr>
        <w:t>Allegato C - SCHEDA TECNICA</w:t>
      </w:r>
    </w:p>
    <w:p w:rsidR="00A05D91" w:rsidRDefault="00497876">
      <w:pPr>
        <w:pBdr>
          <w:top w:val="nil"/>
          <w:left w:val="nil"/>
          <w:bottom w:val="nil"/>
          <w:right w:val="nil"/>
          <w:between w:val="nil"/>
        </w:pBdr>
        <w:spacing w:line="429" w:lineRule="auto"/>
        <w:ind w:left="-56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222222"/>
          <w:sz w:val="22"/>
          <w:szCs w:val="22"/>
        </w:rPr>
        <w:t>NOTA: la presente scheda deve essere obbligatoriamente compilata in ogni sua parte. Non è consentito modificarne il layout e i contenuti predisposti dalla stazione appaltante.</w:t>
      </w: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spacing w:line="429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a"/>
        <w:tblW w:w="10935" w:type="dxa"/>
        <w:tblInd w:w="-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40"/>
        <w:gridCol w:w="7095"/>
      </w:tblGrid>
      <w:tr w:rsidR="00A05D91">
        <w:tc>
          <w:tcPr>
            <w:tcW w:w="109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5D91" w:rsidRDefault="00497876">
            <w:pPr>
              <w:widowControl w:val="0"/>
              <w:tabs>
                <w:tab w:val="right" w:pos="9211"/>
              </w:tabs>
              <w:spacing w:before="8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</w:rPr>
              <w:t>FORNITURA, INSTALLAZIONE, COLLAUDO</w:t>
            </w:r>
            <w:r>
              <w:rPr>
                <w:rFonts w:ascii="Times New Roman" w:eastAsia="Times New Roman" w:hAnsi="Times New Roman" w:cs="Times New Roman"/>
                <w:b/>
                <w:color w:val="C64500"/>
                <w:sz w:val="22"/>
                <w:szCs w:val="2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</w:rPr>
              <w:t>FORMAZIONE E MANUTENZIONE DI N. 2 SISTEMI CROMATOGRAFICO HPLC MODULARE DA DESTINARE ALL'UO DI RADIOFARMACIA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</w:rPr>
              <w:t xml:space="preserve">DELL’IRCCS ISTITUTO ROMAGNOLO PER LO STUDIO DEI TUMORI “DINO AMADORI”  IRST </w:t>
            </w:r>
          </w:p>
        </w:tc>
      </w:tr>
      <w:tr w:rsidR="00A05D91">
        <w:tc>
          <w:tcPr>
            <w:tcW w:w="3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5D91" w:rsidRDefault="004978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RAGIONE SOCIALE DELL’OPERATORE ECONOMICO OFFERENTE</w:t>
            </w:r>
          </w:p>
        </w:tc>
        <w:tc>
          <w:tcPr>
            <w:tcW w:w="7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5D91" w:rsidRDefault="00A05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5D91">
        <w:tc>
          <w:tcPr>
            <w:tcW w:w="3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5D91" w:rsidRDefault="004978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MARCA e MODELL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PRODOTT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OFFERT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</w:t>
            </w:r>
          </w:p>
        </w:tc>
        <w:tc>
          <w:tcPr>
            <w:tcW w:w="7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5D91" w:rsidRDefault="00A05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A05D91">
        <w:trPr>
          <w:trHeight w:val="1297"/>
        </w:trPr>
        <w:tc>
          <w:tcPr>
            <w:tcW w:w="3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5D91" w:rsidRDefault="004978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DESTINAZIONE D’USO PREVISTA DAL FABBRICANTE PER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PRODOTT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OFFERT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(COSÌ COME INDICATO NEL MANUALE D’USO)</w:t>
            </w:r>
          </w:p>
        </w:tc>
        <w:tc>
          <w:tcPr>
            <w:tcW w:w="7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5D91" w:rsidRDefault="00A05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A05D91">
        <w:trPr>
          <w:trHeight w:val="1297"/>
        </w:trPr>
        <w:tc>
          <w:tcPr>
            <w:tcW w:w="3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5D91" w:rsidRDefault="004978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SINTETICA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DESCRIZIONE DELLE CARATTERISTICHE DEL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SISTEMA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PROPOSTO.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NELLO SPECIFICO DE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SCRIVERE GLI ASPETTI MAGGIORMENTE QUALIFICANTI RELATIVI ALLE DI CARATTERISTICHE TECNICHE, FUNZIONALI E COSTRUTTIVE</w:t>
            </w:r>
          </w:p>
        </w:tc>
        <w:tc>
          <w:tcPr>
            <w:tcW w:w="7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5D91" w:rsidRDefault="00A05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A05D91">
        <w:trPr>
          <w:trHeight w:val="492"/>
        </w:trPr>
        <w:tc>
          <w:tcPr>
            <w:tcW w:w="3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5D91" w:rsidRDefault="004978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CODICE CND (SE PREVISTO)</w:t>
            </w:r>
          </w:p>
        </w:tc>
        <w:tc>
          <w:tcPr>
            <w:tcW w:w="7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5D91" w:rsidRDefault="00A05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</w:tbl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0"/>
        <w:tblW w:w="10935" w:type="dxa"/>
        <w:tblInd w:w="-6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85"/>
        <w:gridCol w:w="4950"/>
      </w:tblGrid>
      <w:tr w:rsidR="00A05D91"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 xml:space="preserve">CARATTERISTICHE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TECNICHE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/FUNZIONALI O SERVIZI RICHIESTI DALLA STAZIONE APPALTANTE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5D91" w:rsidRDefault="004978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BREVE DESCRIZIONE DELLA CORRISPONDENTE CARATTERISTICA TECNICA/FUNZIONALE IMPLEMENTATA DAL PRODOTTO PROPOSTO DALL’OPERATORE ECONOMICO O DEL RELATIVO SERVIZIO PROPOSTO</w:t>
            </w:r>
          </w:p>
        </w:tc>
      </w:tr>
      <w:tr w:rsidR="00A05D91">
        <w:trPr>
          <w:trHeight w:val="1221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n. 2 sistemi cromatografici HPLC modulari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composti rispettivamente dai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seguenti elementi:</w:t>
            </w:r>
          </w:p>
          <w:p w:rsidR="00A05D91" w:rsidRDefault="00497876">
            <w:pPr>
              <w:numPr>
                <w:ilvl w:val="1"/>
                <w:numId w:val="1"/>
              </w:num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POMPA con le seguenti caratteristiche: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1"/>
              </w:numP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Sistema di pompaggio di tipo  quaternario che consenta di selezionare almeno 4 solventi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998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Flusso programmabile nell’intervallo compreso tra 0,001 mL/min e 10 mL/min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Il sistema deve poter lavorare a pressioni massime di esercizio di almeno 700 bar anche con flussi di 5 ml/min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Il sistema di pompaggio deve essere integrato con un degaser per tutte le linee di solvente senza richiedere l’utilizzo di gas ausiliari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Il sistema di pompaggio deve essere in grado di misurare in tempo reale la comprimibilità della fase mobile lungo tutto il gradiente cromatografico e aggiustare di conseguenza la corsa del pistone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1"/>
                <w:numId w:val="1"/>
              </w:num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VALVOLA DI SWITCH  A 6 COLONNE con le seguenti caratteristiche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1"/>
              </w:numP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La valvola di switch deve consentire il cambio automatizzato fino a 6 colonne cromatografiche senza alcun intervento dell’operatore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AUTOCAMPIONATORE (RICHIESTO SOLO PER UNO DEI DUE SISTEMI CROMATOGRAFICI FORNITI) con le seguenti caratteristiche: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3"/>
              </w:numP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L’autocampionatore deve essere in grado di lavorare a pressioni massime di esercizio di almeno 700 bar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Il volume morto dell’autocampionatore deve poter essere modificabile tra 0 e 230 µL (compresi valori intermedi) mediante l’utilizzo di specifico applicativo software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Il vano porta campioni deve poter essere refrigerato nell’intervallo di temperature com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preso tra 4 e 40 °C 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Il vano porta campioni deve poter alloggiare almeno 200 vials da 2 ml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Volume di iniezione compreso tra 0.01 e 1000 µL</w:t>
            </w:r>
            <w:r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177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1"/>
                <w:numId w:val="1"/>
              </w:num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VALVOLA PER INIEZIONE MANUALE (RICHIESTA SOLO PER UNO DEI DUE SISTEMI CROMATOGRAFICI FORNITI) con le seguenti caratteristiche: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177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4"/>
              </w:numP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presenza di un loop di iniezione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white"/>
              </w:rPr>
              <w:t>compreso da 20 µL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177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FORNO con le seguenti caratteristiche: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5"/>
              </w:numP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Intervallo di temperature programmabili compreso tra 5 e 80 °C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5"/>
              </w:numP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Il forno (o forni) deve permettere di alloggiare almeno quattro colonne cromatografiche da 25 cm.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Devono essere presenti sensori per il rilevamento di eventuali perdite di solvente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RIVELATORE UV-VIS con le seguenti caratteristiche: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6"/>
              </w:numP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Rivelatore UV-Vis con doppia lampada deuterio e tungsteno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6"/>
              </w:numP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Frequenza massima di acquisizione di almeno 100 Hz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Devono poter essere analizzabili almeno due lunghezze d’onda contemporaneamente lungo tutta la corsa cromatografica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Intervallo di lunghezze d’onda analizzabili compreso tra 190 e 750 nm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Accuratezza della lunghezza d’onda di ± 1 nm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RIVELATORE RADIOCHIMICO con le seguenti caratteristiche: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7"/>
              </w:num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rivelatore a ioduro di sodio NaI(Tl) specifico per isotopi gamma emittenti, PET, e beta emittenti ad alta energia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SOFTWARE con le seguenti caratteristiche: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2"/>
              </w:numP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Software in grado di controllare tutti i moduli del sistema cromatografico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Il medesimo software deve essere utilizzato per la rielaborazione dei dati ottenuti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Deve essere possibile la creazione di report analitici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Il software deve rispondere alla normativa CFR 21 parte 11 ed avere un’architettura di tipo client/server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675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Marcature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white"/>
              </w:rPr>
              <w:t xml:space="preserve"> CE e conformità alle Direttive dell’Unione Europea recepite dalla legislazione nazionale e applicabili alla fattispecie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473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Elemento migliorativo non vincolante: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garanzia dei prodotti offerti superiore a 12 mesi a decorrere dalla data del Verbale di Collaudo di Accettazione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473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Elemento migliorativo non vincolante: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Al termine del periodo di garanzia di almeno 12 mesi (decorrenti dalla data di esito positivo del verbale di collaudo),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esecuzione degli interventi periodici di manutenzione preventiva da eseguire secondo le modalità indicate nel Capitolato Tecnico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Elemento migliorativo non vincolante: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Autocampionatore che permette di effettuare una “pre-compressione” del campione nel momento dell’iniezione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Elemento migliorativo non vincolante: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Autocampionatore che permette l'identificazione del portacampioni trami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te lettore barcode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Elemento migliorativo non vincolante: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fornitura di almeno n.100 vial compatibili con portacampioni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Elemento migliorativo non vincolante: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pompa con accuratezza del flusso di almeno ± 0,1% o migliore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Elemento migliorativo non vincolante: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pompa con sistema di retrolavaggio automatico dei pistoni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Elemento migliorativo non vincolante: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fornitura aggiuntiva di un loop da 50 µL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 xml:space="preserve">Elemento migliorativo non vincolante: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il forno deve essere in grado di termostatare le colonne cromatografiche con almeno due differenti modalità come, ad esempio, effetto Peltier e/o ventilazione forzata,  per ogni coppia di colonne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Elemento migliorativo non vincolante: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Detector UV-Vis con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frequenza massima di acquisizione superiore a  100 Hz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Elemento migliorativo non vincolante: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Software</w:t>
            </w:r>
          </w:p>
          <w:p w:rsidR="00A05D91" w:rsidRDefault="00497876">
            <w:pPr>
              <w:spacing w:line="276" w:lineRule="auto"/>
              <w:ind w:left="7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basato su tecnologia Web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Elemento migliorativo non vincolante: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Software che supporta il protocollo LDAP (Lightweight Directory Access Protocol)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Elemento migliorativo non vincolante: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Software che implementa nativamente le funzionalità di backup e archiviazione dei dati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Elemento migliorativo non vincolante: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ornitura di un PC idoneo al funzionamento della fornitura offerta completo di tutti gli accessori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necessari al suo corretto funzionamento e dotato inoltre porta ethernet per la connessione alla rete LAN aziendale e sistema operativo di ultima generazione.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Sul PC dovrà essere preferibilmente possibile installare i prodotti software delle suite Apex-One di Trend-Micro e Cisco Identity Services Engine (ISE). Il sistema proposto dovrà inoltre preferibilmente essere integrabile con il soluzione Cisco Identity S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ervices Engine (ISE) presente presso la stazione appaltante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Elemento migliorativo non vincolante: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al termine del periodo di garanzia di almeno 12 mesi (decorrenti dalla data di esito positivo del verbale di collaudo), esecuzione delle verifiche di sicure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zza elettrica da eseguire secondo le modalità indicate nel Capitolato Tecnico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rPr>
          <w:trHeight w:val="926"/>
        </w:trPr>
        <w:tc>
          <w:tcPr>
            <w:tcW w:w="5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Formazione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proposta in loco obbligatoria per l'utilizzo dello strumento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D91"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49787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white"/>
              </w:rPr>
              <w:t>Esigenze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white"/>
              </w:rPr>
              <w:t xml:space="preserve"> impiantistiche, informatiche, strutturali ed ambientali necessarie per la regolare installazione della fornitura. Allegare:</w:t>
            </w:r>
          </w:p>
          <w:p w:rsidR="00A05D91" w:rsidRDefault="00497876">
            <w:pPr>
              <w:numPr>
                <w:ilvl w:val="1"/>
                <w:numId w:val="8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white"/>
              </w:rPr>
              <w:t xml:space="preserve">scheda di massima riportante il layout del sistema proposto; </w:t>
            </w:r>
          </w:p>
          <w:p w:rsidR="00A05D91" w:rsidRDefault="00497876">
            <w:pPr>
              <w:numPr>
                <w:ilvl w:val="1"/>
                <w:numId w:val="8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white"/>
              </w:rPr>
              <w:t>scheda tecnica dell'attrezzatura contenente immagini illustrative.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D91" w:rsidRDefault="00A05D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D91" w:rsidRDefault="00A05D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D91" w:rsidRDefault="0049787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FIRMA DIGITALE DELL’OPERATORE ECONOMICO</w:t>
      </w:r>
    </w:p>
    <w:sectPr w:rsidR="00A05D91">
      <w:footerReference w:type="default" r:id="rId7"/>
      <w:pgSz w:w="11906" w:h="16838"/>
      <w:pgMar w:top="566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97876">
      <w:r>
        <w:separator/>
      </w:r>
    </w:p>
  </w:endnote>
  <w:endnote w:type="continuationSeparator" w:id="0">
    <w:p w:rsidR="00000000" w:rsidRDefault="00497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D91" w:rsidRDefault="00497876">
    <w:pPr>
      <w:pBdr>
        <w:top w:val="nil"/>
        <w:left w:val="nil"/>
        <w:bottom w:val="nil"/>
        <w:right w:val="nil"/>
        <w:between w:val="nil"/>
      </w:pBdr>
      <w:jc w:val="righ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Pagina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di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7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:rsidR="00A05D91" w:rsidRDefault="00A05D91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97876">
      <w:r>
        <w:separator/>
      </w:r>
    </w:p>
  </w:footnote>
  <w:footnote w:type="continuationSeparator" w:id="0">
    <w:p w:rsidR="00000000" w:rsidRDefault="00497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C3BD2"/>
    <w:multiLevelType w:val="multilevel"/>
    <w:tmpl w:val="3E8836BE"/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6"/>
        <w:szCs w:val="26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696740E"/>
    <w:multiLevelType w:val="multilevel"/>
    <w:tmpl w:val="237461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00F5932"/>
    <w:multiLevelType w:val="multilevel"/>
    <w:tmpl w:val="21D2D9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8DE2F00"/>
    <w:multiLevelType w:val="multilevel"/>
    <w:tmpl w:val="7A4AE7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A7409A3"/>
    <w:multiLevelType w:val="multilevel"/>
    <w:tmpl w:val="AF586A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5C0326EB"/>
    <w:multiLevelType w:val="multilevel"/>
    <w:tmpl w:val="8C727A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4DA4100"/>
    <w:multiLevelType w:val="multilevel"/>
    <w:tmpl w:val="DFE6FD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6127FEB"/>
    <w:multiLevelType w:val="multilevel"/>
    <w:tmpl w:val="50C4FB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D91"/>
    <w:rsid w:val="00497876"/>
    <w:rsid w:val="00A0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AD9AA"/>
  <w15:docId w15:val="{17EDA612-3FA8-4647-A146-7C06FCA2C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4"/>
      <w:szCs w:val="24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Pr>
      <w:sz w:val="24"/>
      <w:szCs w:val="24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Gino Pascucci</dc:creator>
  <cp:lastModifiedBy>Gino Pascucci</cp:lastModifiedBy>
  <cp:revision>2</cp:revision>
  <dcterms:created xsi:type="dcterms:W3CDTF">2023-06-14T12:49:00Z</dcterms:created>
  <dcterms:modified xsi:type="dcterms:W3CDTF">2023-06-14T12:49:00Z</dcterms:modified>
</cp:coreProperties>
</file>